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78 vom 25. Januar 2013</w:t>
      </w:r>
    </w:p>
    <w:p>
      <w:r>
        <w:t>VS Kantonsgericht, 2013-01-25, DE</w:t>
      </w:r>
    </w:p>
    <w:p>
      <w:r>
        <w:rPr>
          <w:b/>
        </w:rPr>
        <w:t xml:space="preserve">Quelle: </w:t>
      </w:r>
      <w:r>
        <w:t>https://mcp.opencaselaw.ch/entscheid/vs_gerichte_A1 12 78</w:t>
      </w:r>
    </w:p>
    <w:p>
      <w:r>
        <w:t>FR: VS_GERICHTE A1 12 78 du 25 janvier 2013</w:t>
      </w:r>
    </w:p>
    <w:p>
      <w:r>
        <w:t>IT: VS_GERICHTE A1 12 78 del 25 gennaio 2013</w:t>
      </w:r>
    </w:p>
    <w:p>
      <w:pPr>
        <w:pStyle w:val="Heading2"/>
      </w:pPr>
      <w:r>
        <w:t>Regeste</w:t>
      </w:r>
    </w:p>
    <w:p>
      <w:r>
        <w:t>A1 12 78 URTEIL VOM 25. JANUAR 2013 Kantonsgericht Wallis Öffentlichrechtliche Abteilung Es wirken mit: Kantonsrichter Jean-Pierre Zufferey, Präsident, Jean-Bernard Fournier und Thomas Brunner, in Sachen X__________, vertreten durch Rechtsanwältin A_________, Beschwerdeführerin gegen Staatsrat des Kantons Wallis, Stadtgemeinde Y_________, Stockwerkeigentümergemeinschaft Z_________, vertreten durch Rechtsanwalt B_________ (Umweltschutz)</w:t>
      </w:r>
    </w:p>
    <w:p>
      <w:pPr>
        <w:pStyle w:val="Heading2"/>
      </w:pPr>
      <w:r>
        <w:t>Erwägungen</w:t>
      </w:r>
    </w:p>
    <w:p>
      <w:r>
        <w:rPr>
          <w:b/>
        </w:rPr>
        <w:t>E. 1</w:t>
      </w:r>
    </w:p>
    <w:p>
      <w:r>
        <w:t>Der angefochtene Entscheid des Staatsrats stellt eine letztinstanzliche Verfügung im Sinne von Art. 72 des Gesetzes über das Verwaltungsverfahren und die Verwaltungsrechtspflege vom 6. Oktober 1976 (VVRG; SGS/VS 172.6) dar, die mangels Ausschlusses in den Art. 74 bis Art. 77 VVRG der Verwaltungsgerichtsbeschwerde unterliegt. Die Beschwerdeführerin ist als Adressatin des für sie negativen Staatsratsentscheids berührt und hat ein schutzwürdiges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prüfen, sondern kann sich im Wesentlichen auf die gerügten Punkte beschränken (Art. 80 Abs. 1 lit. c i.V.m. Art. 48 Abs. 2 VVRG). Es können zudem nur Rechtsverletzungen, einschliesslich Überschreitungen oder Missbrauch des Ermessens sowie die unrichtige oder unvollständige Feststellung des rechtserheblichen Sachverhalts geltend gemacht werden, nicht jedoch, abgesehen von hier nicht zutreffenden Ausnahmen, die Unzweckmässigkeit der Verfügung (Art. 78 VVRG).</w:t>
      </w:r>
    </w:p>
    <w:p>
      <w:r>
        <w:rPr>
          <w:b/>
        </w:rPr>
        <w:t>E. 3</w:t>
      </w:r>
    </w:p>
    <w:p>
      <w:r>
        <w:t>Das Gericht hat sämtliche Akten der Vorinstanzen beigezogen sowie alle eingereichten Belege zu den Akten genommen. Den Beweismittelanträgen der Beschwerdeführerin ist damit Genüge getan.</w:t>
      </w:r>
    </w:p>
    <w:p>
      <w:r>
        <w:rPr>
          <w:b/>
        </w:rPr>
        <w:t>E. 4</w:t>
      </w:r>
    </w:p>
    <w:p>
      <w:r>
        <w:t>Die Beschwerdeführerin beantragt neben der Aufhebung des Staatsratsentscheids vom 21. März 2012 auch die Aufhebung der Verfügung des DVBU vom 5. Juni 2008 (Ziff. 2 der Rechtsbegehren).</w:t>
      </w:r>
    </w:p>
    <w:p>
      <w:r>
        <w:rPr>
          <w:b/>
        </w:rPr>
        <w:t>E. 4.1</w:t>
      </w:r>
    </w:p>
    <w:p>
      <w:r>
        <w:t>Als Folge des im Beschwerdeverfahren geltenden Devolutiveffekts ersetzt der Entscheid des Staatsrats die bei ihm angefochtene Erkenntnis des Departements (Fritz Gygi, Bundesverwaltungsrechtspflege, 2. A., Bern 1983, S. 190; Alfred Kölz/Isabelle Häner, Verwaltungsverfahren und Verwaltungsrechtspflege des Bundes, 2. A., Zürich 1998, N 660) und dieser Entscheid allein kann vor Gericht gezogen werden. Die Verfügung des DVBU kann nicht separat angefochten werden, ist inhaltlich aber notwendigerweise mitangefochten, wenn der Sachentscheid des Staatsrats mit Verwaltungsgerichtsbeschwerde weitergezogen worden ist (BGE 134 II 142 E. 1.4). Auf das Rechtsbegehren, die Verfügung des DVBU vom 5. Juni 2008 sei auch aufzuheben, ist daher nicht einzutreten.</w:t>
      </w:r>
    </w:p>
    <w:p>
      <w:r>
        <w:rPr>
          <w:b/>
        </w:rPr>
        <w:t>E. 4.2</w:t>
      </w:r>
    </w:p>
    <w:p>
      <w:r>
        <w:t>Denn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(Urteil des Bundesgerichts 9C_641/2010 vom</w:t>
      </w:r>
    </w:p>
    <w:p>
      <w:r>
        <w:rPr>
          <w:b/>
        </w:rPr>
        <w:t>E. 7</w:t>
      </w:r>
    </w:p>
    <w:p>
      <w:r>
        <w:t>November 2005 bezahlt. Nach dem Verfahren bezüglich die Realisierungspflicht zur Beseitigung des eingetretenen Schadens und dem Kostenverteilungsgesuch der Stockwerkeigentümergemeinschaft vom 27. Oktober 2003 eröffnete das DVBU am 5. Juni 2008 die Verfügung über die Verteilung der bis dahin aufgelaufenen Kosten. Die Verjährung begann somit in diesem Zeitpunkt zu laufen und wurde in der Folge durch die Beschwerden unterbrochen (vgl. Art. 138 OR; Lilian Christen, Kostenverteilung gemäss Art. 32d USG - ausgewählte Aspekte aus der Praxis, in URP 2011 S. 593 ff., S. 603). Gemäss den aufgeführten Grundsätzen, an denen auch im vorliegenden Fall festzuhalten ist, ist die Forderung auf Kostenverteilung deshalb nicht verjährt.</w:t>
      </w:r>
    </w:p>
    <w:p>
      <w:r>
        <w:t>- 16 -</w:t>
      </w:r>
    </w:p>
    <w:p>
      <w:r>
        <w:rPr>
          <w:b/>
        </w:rPr>
        <w:t>E. 7.1</w:t>
      </w:r>
    </w:p>
    <w:p>
      <w:r>
        <w:t>In der Lehre und Rechtsprechung ist als allgemeiner Grundsatz des schweizerischen Verwaltungsrechts anerkannt, dass öffentlichrechtliche Forderungen auch dann, wenn das Gesetz es nicht vorsieht, durch Zeitablauf erlöschen (BGE 122 II</w:t>
      </w:r>
    </w:p>
    <w:p>
      <w:r>
        <w:t>- 15 - 26 E. 5; 113 Ia 146 E. 3d; 116 Ia 461 E. 2; Ulrich Häfelin/Georg Müller/Felix Uhlmann, a.a.O., N 778). Der Anspruch des Staates auf Beseitigung des polizeiwidrigen Zustandes bei Gefahr gegen Leib und Leben unterliegt keiner Verjährung. Solange die Gefahr oder die Einwirkungen anhalten, beginnt die Verjährungsfrist für Ersatzforderungen des Staates - soweit Massnahmen zur Feststellung, Abwehr oder Behebung bereits getroffen wurden - nicht zu laufen (BGE 114 Ib 44 E. 4; Kommentar USG, a.a.O., Art. 59 USG, N 49; Ulrich Häfelin/Georg Müller/Felix Uhlmann, a.a.O., N 783). Für übrige Beseitigungs- und Wiederherstellungspflichten wird eine 30-jährige Verwirkungsfrist (analog zur Ersitzungsfrist in Art. 662 ZGB) angenommen (BGE 105 Ib 265 E. 6 betreffend Wideraufforstung eines widerrechtlich gerodeten Waldstücks; Hans Rudolf Trüeb, Die so genannte Bauherrenaltlast, URP 2007 S. 616 ff., S. 633). Fehlt eine ausdrückliche Bestimmung bei Schadenersatzforderungen für Sicherheitsvorkehren, so ist mit Rücksicht auf das Gebot der Rechtssicherheit und des Vertrauensschutzes bei der Lückenfüllung eine längere Frist als eine einjährige zu wählen und in der Regel ist von einer Verjährungsfrist von fünf Jahren auszugehen (vgl. BGE 126 II 54 E. 7; 105 Ib 6 E. 3c; 108 Ib 485; 113 Ia 461 E. 2; 122 II 26 E. 5; 124 II 543 E. 4a). Diese fünfjährige Verjährungsfrist ist vom Bundesgericht auch in Fällen angewandt worden, in denen es um die Überbindung der Kosten für Sicherheitsvorkehren und die Beseitigung polizeiwidriger Zustände ging. Dabei ist zum Fristenlauf präzisiert worden, die Verjährung beginne erst, wenn die effektiven Kosten für die ergriffenen Massnahmen bekannt seien. Die Verjährung beginnt daher erst in diesem Zeitpunkt zu laufen. Dies ist in der Regel dann der Fall, wenn die Abwehr- und Schutzmassnahmen durchgeführt worden sind und die Abrechnung darüber vorliegt (BGE 122 II 26 E. 5; Urteil des Bundesgerichts vom 17. Dezember 1980 i.S. X, publ. in ZBl 82/1981 S. 370 E. 2).</w:t>
      </w:r>
    </w:p>
    <w:p>
      <w:r>
        <w:rPr>
          <w:b/>
        </w:rPr>
        <w:t>E. 7.2</w:t>
      </w:r>
    </w:p>
    <w:p>
      <w:r>
        <w:t>Im vorliegenden Fall wurde im Frühling 1988 mit etwa 1 000 Liter Öl verunreinigte Erde entsorgt. Die restliche mit ca. 34 000 Liter Öl verunreinigte Erde wurde ab Dezember 1988 unter Beobachtung gestellt (vgl. Expertise von E_________, Beleg 7, S. 16, Ordner 1 Staatsrat). Der polizeiwidrige Zustand dauerte somit an und der Anspruch des Staates auf Beseitigung unterliegt keiner Verjährung, solange der Anspruch auf Beseitigung besteht. Der Experte E_________ reichte am 12. März 2002 einen weiteren Bericht ein, welcher die nötigen Sanierungsmassnahmen beurteilte. Die DUS hat die letzte Rechnung dieses Büros im Betrag von Fr. 1 785.10 nach dem</w:t>
      </w:r>
    </w:p>
    <w:p>
      <w:r>
        <w:rPr>
          <w:b/>
        </w:rPr>
        <w:t>E. 8</w:t>
      </w:r>
    </w:p>
    <w:p>
      <w:r>
        <w:t>Die Verwaltungsgerichtsbeschwerde ist somit vollumfänglich abzuweisen. Bei diesem Ausgang des Verfahrens gilt die Beschwerdeführerin als unterliegende Partei, was bei der Auflage der Verfahrenskosten zu berücksichtigen ist.</w:t>
      </w:r>
    </w:p>
    <w:p>
      <w:r>
        <w:rPr>
          <w:b/>
        </w:rPr>
        <w:t>E. 8.1</w:t>
      </w:r>
    </w:p>
    <w:p>
      <w:r>
        <w:t>Im Beschwerdeverfahren hat in der Regel die unterliegende Partei die Kosten zu tragen (Art. 89 Abs. 1 VVRG). Ausnahmsweise können die Kosten ganz oder teilweise erlassen werden (Art. 89 Abs. 2 VVRG). Es bestehen keine Gründe, vorliegend von der Grundregel abzuweichen, so dass die Beschwerdeführerin bei diesem Ausgang des Verfahrens die Gerichtsgebühr zu bezahlen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 Grund der Bedeutung des Falles, dessen Umfang und Schwierigkeitsgrad wird die Gerichtsgebühr auf Fr. 1 500.-- festgesetzt.</w:t>
      </w:r>
    </w:p>
    <w:p>
      <w:r>
        <w:rPr>
          <w:b/>
        </w:rPr>
        <w:t>E. 8.2</w:t>
      </w:r>
    </w:p>
    <w:p>
      <w:r>
        <w:t>Der unterliegenden Beschwerdeführerin steht keine Parteientschädigung zu (Art. 91 Abs. 1 VVRG e contrario). Die Stockwerkeigentümergemeischaft hat keine Begehren gestellt, so dass sie keinen Anspruch auf eine Parteientschädigung hat. Gemäss Art. 91 Abs. 3 VVRG wird den Behörden, welche obsiegen, in der Regel keine Parteientschädigung zugesprochen. Es bestehen vorliegend keine Gründe, von der Grundregel abzuweichen.</w:t>
      </w:r>
    </w:p>
    <w:p>
      <w:r>
        <w:t>Demnach erkennt das Kantonsgericht</w:t>
      </w:r>
    </w:p>
    <w:p>
      <w:r>
        <w:t>1. Die Verwaltungsgerichtsbeschwerde wird abgewiesen, soweit darauf einzutreten ist. 2. Die Gerichtsgebühr wird auf Fr. 1 500.-- festgesetzt und der Beschwerdeführerin auferlegt. 3. Es werden keine Parteientschädigungen zugesprochen. 4. Der vorliegende Entscheid wird der Beschwerdeführerin, dem Staatsrat, der Stockwerkeigentümergemeinschaft und der Gemeinde Y_________ schriftlich mitgeteilt.</w:t>
      </w:r>
    </w:p>
    <w:p>
      <w:r>
        <w:t>Sitten, 25.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